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6062F" w14:textId="77777777"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p>
    <w:p w14:paraId="5EE39F60" w14:textId="77777777"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p>
    <w:p w14:paraId="2D9F9AB0" w14:textId="77777777"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p>
    <w:p w14:paraId="55AEDC50" w14:textId="77777777"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p>
    <w:p w14:paraId="25EF26BF" w14:textId="77777777"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p>
    <w:p w14:paraId="50C76692" w14:textId="77777777"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p>
    <w:p w14:paraId="66429F87" w14:textId="62AE38D6" w:rsidR="00791B47" w:rsidRPr="0025413D" w:rsidRDefault="004E72C5" w:rsidP="0025413D">
      <w:pPr>
        <w:pStyle w:val="NormalWeb"/>
        <w:shd w:val="clear" w:color="auto" w:fill="FFFFFF"/>
        <w:spacing w:before="120" w:beforeAutospacing="0" w:after="240" w:afterAutospacing="0" w:line="480" w:lineRule="auto"/>
        <w:jc w:val="center"/>
        <w:rPr>
          <w:color w:val="202122"/>
          <w:spacing w:val="3"/>
        </w:rPr>
      </w:pPr>
      <w:r w:rsidRPr="0025413D">
        <w:rPr>
          <w:color w:val="202122"/>
          <w:spacing w:val="3"/>
        </w:rPr>
        <w:t xml:space="preserve">Gender Dysphoria in </w:t>
      </w:r>
      <w:r w:rsidR="00B0288C" w:rsidRPr="0025413D">
        <w:rPr>
          <w:color w:val="202122"/>
          <w:spacing w:val="3"/>
        </w:rPr>
        <w:t>Minors</w:t>
      </w:r>
      <w:r w:rsidRPr="0025413D">
        <w:rPr>
          <w:color w:val="202122"/>
          <w:spacing w:val="3"/>
        </w:rPr>
        <w:t xml:space="preserve"> and Gender Affirming Care</w:t>
      </w:r>
    </w:p>
    <w:p w14:paraId="72AAA095" w14:textId="77777777"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p>
    <w:p w14:paraId="1608AC6C" w14:textId="65B360F4"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r w:rsidRPr="0025413D">
        <w:rPr>
          <w:color w:val="202122"/>
          <w:spacing w:val="3"/>
        </w:rPr>
        <w:t xml:space="preserve">Kayleigh Ferguson </w:t>
      </w:r>
    </w:p>
    <w:p w14:paraId="3CC99CB9" w14:textId="1CB22127"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r w:rsidRPr="0025413D">
        <w:rPr>
          <w:color w:val="202122"/>
          <w:spacing w:val="3"/>
        </w:rPr>
        <w:t xml:space="preserve">PSYC-3110: Human Sexuality </w:t>
      </w:r>
    </w:p>
    <w:p w14:paraId="5A04FBE4" w14:textId="4244E0EA"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r w:rsidRPr="0025413D">
        <w:rPr>
          <w:color w:val="202122"/>
          <w:spacing w:val="3"/>
        </w:rPr>
        <w:t>Section E01</w:t>
      </w:r>
    </w:p>
    <w:p w14:paraId="186F27E5" w14:textId="5E217F2B" w:rsidR="00056878" w:rsidRPr="0025413D" w:rsidRDefault="00056878" w:rsidP="0025413D">
      <w:pPr>
        <w:pStyle w:val="NormalWeb"/>
        <w:shd w:val="clear" w:color="auto" w:fill="FFFFFF"/>
        <w:spacing w:before="120" w:beforeAutospacing="0" w:after="240" w:afterAutospacing="0" w:line="480" w:lineRule="auto"/>
        <w:jc w:val="center"/>
        <w:rPr>
          <w:color w:val="212529"/>
          <w:shd w:val="clear" w:color="auto" w:fill="FFFFFF"/>
        </w:rPr>
      </w:pPr>
      <w:r w:rsidRPr="0025413D">
        <w:rPr>
          <w:color w:val="202122"/>
          <w:spacing w:val="3"/>
        </w:rPr>
        <w:t xml:space="preserve">Professor </w:t>
      </w:r>
      <w:r w:rsidRPr="0025413D">
        <w:rPr>
          <w:color w:val="212529"/>
          <w:shd w:val="clear" w:color="auto" w:fill="FFFFFF"/>
        </w:rPr>
        <w:t>Louise Grann</w:t>
      </w:r>
    </w:p>
    <w:p w14:paraId="7C372C03" w14:textId="7BF8DF48" w:rsidR="00056878" w:rsidRPr="0025413D" w:rsidRDefault="00056878" w:rsidP="0025413D">
      <w:pPr>
        <w:pStyle w:val="NormalWeb"/>
        <w:shd w:val="clear" w:color="auto" w:fill="FFFFFF"/>
        <w:spacing w:before="120" w:beforeAutospacing="0" w:after="240" w:afterAutospacing="0" w:line="480" w:lineRule="auto"/>
        <w:jc w:val="center"/>
        <w:rPr>
          <w:color w:val="202122"/>
          <w:spacing w:val="3"/>
        </w:rPr>
      </w:pPr>
      <w:r w:rsidRPr="0025413D">
        <w:rPr>
          <w:color w:val="212529"/>
          <w:shd w:val="clear" w:color="auto" w:fill="FFFFFF"/>
        </w:rPr>
        <w:t>05 December 2023</w:t>
      </w:r>
    </w:p>
    <w:p w14:paraId="643C7693" w14:textId="0BBC4FAB" w:rsidR="00056878" w:rsidRPr="0025413D" w:rsidRDefault="00056878" w:rsidP="0025413D">
      <w:pPr>
        <w:spacing w:line="480" w:lineRule="auto"/>
        <w:rPr>
          <w:rFonts w:ascii="Times New Roman" w:eastAsia="Times New Roman" w:hAnsi="Times New Roman" w:cs="Times New Roman"/>
          <w:color w:val="202122"/>
          <w:spacing w:val="3"/>
          <w:kern w:val="0"/>
          <w:sz w:val="24"/>
          <w:szCs w:val="24"/>
          <w14:ligatures w14:val="none"/>
        </w:rPr>
      </w:pPr>
      <w:r w:rsidRPr="0025413D">
        <w:rPr>
          <w:rFonts w:ascii="Times New Roman" w:hAnsi="Times New Roman" w:cs="Times New Roman"/>
          <w:color w:val="202122"/>
          <w:spacing w:val="3"/>
          <w:sz w:val="24"/>
          <w:szCs w:val="24"/>
        </w:rPr>
        <w:br w:type="page"/>
      </w:r>
    </w:p>
    <w:p w14:paraId="467880D0" w14:textId="53FFAD59" w:rsidR="00883214" w:rsidRPr="0025413D" w:rsidRDefault="00FA1E86" w:rsidP="0025413D">
      <w:pPr>
        <w:spacing w:line="480" w:lineRule="auto"/>
        <w:ind w:firstLine="720"/>
        <w:rPr>
          <w:rFonts w:ascii="Times New Roman" w:hAnsi="Times New Roman" w:cs="Times New Roman"/>
          <w:sz w:val="24"/>
          <w:szCs w:val="24"/>
        </w:rPr>
      </w:pPr>
      <w:r w:rsidRPr="0025413D">
        <w:rPr>
          <w:rFonts w:ascii="Times New Roman" w:hAnsi="Times New Roman" w:cs="Times New Roman"/>
          <w:sz w:val="24"/>
          <w:szCs w:val="24"/>
        </w:rPr>
        <w:lastRenderedPageBreak/>
        <w:t xml:space="preserve">Today in the United States new laws </w:t>
      </w:r>
      <w:r w:rsidR="00EE335D" w:rsidRPr="0025413D">
        <w:rPr>
          <w:rFonts w:ascii="Times New Roman" w:hAnsi="Times New Roman" w:cs="Times New Roman"/>
          <w:sz w:val="24"/>
          <w:szCs w:val="24"/>
        </w:rPr>
        <w:t xml:space="preserve">limiting or banning gender affirming care for minors are constantly being passed. </w:t>
      </w:r>
      <w:r w:rsidR="00B0288C" w:rsidRPr="0025413D">
        <w:rPr>
          <w:rFonts w:ascii="Times New Roman" w:hAnsi="Times New Roman" w:cs="Times New Roman"/>
          <w:sz w:val="24"/>
          <w:szCs w:val="24"/>
        </w:rPr>
        <w:t xml:space="preserve">Arguments attempting to justify this, apart from religious, claim children and adolescents are confused, influenced, and incapable of making permeant medical decisions. </w:t>
      </w:r>
      <w:r w:rsidR="00A400D9" w:rsidRPr="0025413D">
        <w:rPr>
          <w:rFonts w:ascii="Times New Roman" w:hAnsi="Times New Roman" w:cs="Times New Roman"/>
          <w:sz w:val="24"/>
          <w:szCs w:val="24"/>
        </w:rPr>
        <w:t xml:space="preserve">Is there any validity in </w:t>
      </w:r>
      <w:r w:rsidR="00B0288C" w:rsidRPr="0025413D">
        <w:rPr>
          <w:rFonts w:ascii="Times New Roman" w:hAnsi="Times New Roman" w:cs="Times New Roman"/>
          <w:sz w:val="24"/>
          <w:szCs w:val="24"/>
        </w:rPr>
        <w:t xml:space="preserve">these </w:t>
      </w:r>
      <w:r w:rsidR="00A400D9" w:rsidRPr="0025413D">
        <w:rPr>
          <w:rFonts w:ascii="Times New Roman" w:hAnsi="Times New Roman" w:cs="Times New Roman"/>
          <w:sz w:val="24"/>
          <w:szCs w:val="24"/>
        </w:rPr>
        <w:t>arguments</w:t>
      </w:r>
      <w:r w:rsidR="00B0288C" w:rsidRPr="0025413D">
        <w:rPr>
          <w:rFonts w:ascii="Times New Roman" w:hAnsi="Times New Roman" w:cs="Times New Roman"/>
          <w:sz w:val="24"/>
          <w:szCs w:val="24"/>
        </w:rPr>
        <w:t xml:space="preserve"> though</w:t>
      </w:r>
      <w:r w:rsidR="00A400D9" w:rsidRPr="0025413D">
        <w:rPr>
          <w:rFonts w:ascii="Times New Roman" w:hAnsi="Times New Roman" w:cs="Times New Roman"/>
          <w:sz w:val="24"/>
          <w:szCs w:val="24"/>
        </w:rPr>
        <w:t xml:space="preserve">? </w:t>
      </w:r>
      <w:r w:rsidR="004E72C5" w:rsidRPr="0025413D">
        <w:rPr>
          <w:rFonts w:ascii="Times New Roman" w:hAnsi="Times New Roman" w:cs="Times New Roman"/>
          <w:sz w:val="24"/>
          <w:szCs w:val="24"/>
        </w:rPr>
        <w:t xml:space="preserve">What about </w:t>
      </w:r>
      <w:r w:rsidR="00B0288C" w:rsidRPr="0025413D">
        <w:rPr>
          <w:rFonts w:ascii="Times New Roman" w:hAnsi="Times New Roman" w:cs="Times New Roman"/>
          <w:sz w:val="24"/>
          <w:szCs w:val="24"/>
        </w:rPr>
        <w:t xml:space="preserve">in arguments defending access to care, claiming it saves lives? To gain a better understanding of this topic, this paper will </w:t>
      </w:r>
      <w:proofErr w:type="gramStart"/>
      <w:r w:rsidR="00B0288C" w:rsidRPr="0025413D">
        <w:rPr>
          <w:rFonts w:ascii="Times New Roman" w:hAnsi="Times New Roman" w:cs="Times New Roman"/>
          <w:sz w:val="24"/>
          <w:szCs w:val="24"/>
        </w:rPr>
        <w:t>take a look</w:t>
      </w:r>
      <w:proofErr w:type="gramEnd"/>
      <w:r w:rsidR="00B0288C" w:rsidRPr="0025413D">
        <w:rPr>
          <w:rFonts w:ascii="Times New Roman" w:hAnsi="Times New Roman" w:cs="Times New Roman"/>
          <w:sz w:val="24"/>
          <w:szCs w:val="24"/>
        </w:rPr>
        <w:t xml:space="preserve"> at recent studies surrounding this topic.</w:t>
      </w:r>
    </w:p>
    <w:p w14:paraId="2BE9416B" w14:textId="792311BD" w:rsidR="002A79FD" w:rsidRPr="0025413D" w:rsidRDefault="002A79FD" w:rsidP="0025413D">
      <w:pPr>
        <w:spacing w:line="480" w:lineRule="auto"/>
        <w:ind w:firstLine="720"/>
        <w:rPr>
          <w:rFonts w:ascii="Times New Roman" w:hAnsi="Times New Roman" w:cs="Times New Roman"/>
          <w:sz w:val="24"/>
          <w:szCs w:val="24"/>
        </w:rPr>
      </w:pPr>
      <w:r w:rsidRPr="0025413D">
        <w:rPr>
          <w:rFonts w:ascii="Times New Roman" w:hAnsi="Times New Roman" w:cs="Times New Roman"/>
          <w:sz w:val="24"/>
          <w:szCs w:val="24"/>
        </w:rPr>
        <w:t>So, what exactly is gender dysphoria?</w:t>
      </w:r>
      <w:r w:rsidR="009E215C" w:rsidRPr="0025413D">
        <w:rPr>
          <w:rFonts w:ascii="Times New Roman" w:hAnsi="Times New Roman" w:cs="Times New Roman"/>
          <w:sz w:val="24"/>
          <w:szCs w:val="24"/>
        </w:rPr>
        <w:t xml:space="preserve"> Gender dysphoria can be defined as “</w:t>
      </w:r>
      <w:r w:rsidR="009E215C" w:rsidRPr="0025413D">
        <w:rPr>
          <w:rFonts w:ascii="Times New Roman" w:hAnsi="Times New Roman" w:cs="Times New Roman"/>
          <w:color w:val="080808"/>
          <w:sz w:val="24"/>
          <w:szCs w:val="24"/>
          <w:shd w:val="clear" w:color="auto" w:fill="FFFFFF"/>
        </w:rPr>
        <w:t xml:space="preserve">the feeling of discomfort or distress that might occur in people whose gender identity differs from their sex assigned at birth or sex-related physical characteristics” (Mayo, 2022). </w:t>
      </w:r>
      <w:r w:rsidR="00B303DC" w:rsidRPr="0025413D">
        <w:rPr>
          <w:rFonts w:ascii="Times New Roman" w:hAnsi="Times New Roman" w:cs="Times New Roman"/>
          <w:color w:val="080808"/>
          <w:sz w:val="24"/>
          <w:szCs w:val="24"/>
          <w:shd w:val="clear" w:color="auto" w:fill="FFFFFF"/>
        </w:rPr>
        <w:t xml:space="preserve">Gender dysphoria can cause great distress in an individual’s everyday life. This can affect </w:t>
      </w:r>
      <w:r w:rsidR="00FE4D58" w:rsidRPr="0025413D">
        <w:rPr>
          <w:rFonts w:ascii="Times New Roman" w:hAnsi="Times New Roman" w:cs="Times New Roman"/>
          <w:color w:val="080808"/>
          <w:sz w:val="24"/>
          <w:szCs w:val="24"/>
          <w:shd w:val="clear" w:color="auto" w:fill="FFFFFF"/>
        </w:rPr>
        <w:t xml:space="preserve">social and family </w:t>
      </w:r>
      <w:r w:rsidR="00686D85" w:rsidRPr="0025413D">
        <w:rPr>
          <w:rFonts w:ascii="Times New Roman" w:hAnsi="Times New Roman" w:cs="Times New Roman"/>
          <w:color w:val="080808"/>
          <w:sz w:val="24"/>
          <w:szCs w:val="24"/>
          <w:shd w:val="clear" w:color="auto" w:fill="FFFFFF"/>
        </w:rPr>
        <w:t xml:space="preserve">aspects of an individual’s life, as well as performance at school and/or work. </w:t>
      </w:r>
      <w:r w:rsidR="009E215C" w:rsidRPr="0025413D">
        <w:rPr>
          <w:rFonts w:ascii="Times New Roman" w:hAnsi="Times New Roman" w:cs="Times New Roman"/>
          <w:color w:val="080808"/>
          <w:sz w:val="24"/>
          <w:szCs w:val="24"/>
          <w:shd w:val="clear" w:color="auto" w:fill="FFFFFF"/>
        </w:rPr>
        <w:t>While not all people who are transgender experience gender dysphoria, it is a common result of when a person's gender identity differs from their sex assigned at birth.</w:t>
      </w:r>
    </w:p>
    <w:p w14:paraId="496E10CE" w14:textId="44332A1E" w:rsidR="00A75360" w:rsidRPr="0025413D" w:rsidRDefault="00FA75AD" w:rsidP="0025413D">
      <w:pPr>
        <w:spacing w:line="480" w:lineRule="auto"/>
        <w:rPr>
          <w:rFonts w:ascii="Times New Roman" w:hAnsi="Times New Roman" w:cs="Times New Roman"/>
          <w:color w:val="212121"/>
          <w:sz w:val="24"/>
          <w:szCs w:val="24"/>
          <w:shd w:val="clear" w:color="auto" w:fill="FFFFFF"/>
        </w:rPr>
      </w:pPr>
      <w:r w:rsidRPr="0025413D">
        <w:rPr>
          <w:rFonts w:ascii="Times New Roman" w:hAnsi="Times New Roman" w:cs="Times New Roman"/>
          <w:sz w:val="24"/>
          <w:szCs w:val="24"/>
        </w:rPr>
        <w:tab/>
        <w:t>One of the most prevalent arguments made by those who support denying children</w:t>
      </w:r>
      <w:r w:rsidR="00883214" w:rsidRPr="0025413D">
        <w:rPr>
          <w:rFonts w:ascii="Times New Roman" w:hAnsi="Times New Roman" w:cs="Times New Roman"/>
          <w:sz w:val="24"/>
          <w:szCs w:val="24"/>
        </w:rPr>
        <w:t xml:space="preserve"> </w:t>
      </w:r>
      <w:r w:rsidRPr="0025413D">
        <w:rPr>
          <w:rFonts w:ascii="Times New Roman" w:hAnsi="Times New Roman" w:cs="Times New Roman"/>
          <w:sz w:val="24"/>
          <w:szCs w:val="24"/>
        </w:rPr>
        <w:t xml:space="preserve">gender affirming care is that </w:t>
      </w:r>
      <w:r w:rsidR="0025706C" w:rsidRPr="0025413D">
        <w:rPr>
          <w:rFonts w:ascii="Times New Roman" w:hAnsi="Times New Roman" w:cs="Times New Roman"/>
          <w:sz w:val="24"/>
          <w:szCs w:val="24"/>
        </w:rPr>
        <w:t xml:space="preserve">children </w:t>
      </w:r>
      <w:r w:rsidRPr="0025413D">
        <w:rPr>
          <w:rFonts w:ascii="Times New Roman" w:hAnsi="Times New Roman" w:cs="Times New Roman"/>
          <w:sz w:val="24"/>
          <w:szCs w:val="24"/>
        </w:rPr>
        <w:t xml:space="preserve">are </w:t>
      </w:r>
      <w:r w:rsidR="0094446C" w:rsidRPr="0025413D">
        <w:rPr>
          <w:rFonts w:ascii="Times New Roman" w:hAnsi="Times New Roman" w:cs="Times New Roman"/>
          <w:sz w:val="24"/>
          <w:szCs w:val="24"/>
        </w:rPr>
        <w:t>too</w:t>
      </w:r>
      <w:r w:rsidRPr="0025413D">
        <w:rPr>
          <w:rFonts w:ascii="Times New Roman" w:hAnsi="Times New Roman" w:cs="Times New Roman"/>
          <w:sz w:val="24"/>
          <w:szCs w:val="24"/>
        </w:rPr>
        <w:t xml:space="preserve"> young </w:t>
      </w:r>
      <w:r w:rsidR="004E72C5" w:rsidRPr="0025413D">
        <w:rPr>
          <w:rFonts w:ascii="Times New Roman" w:hAnsi="Times New Roman" w:cs="Times New Roman"/>
          <w:sz w:val="24"/>
          <w:szCs w:val="24"/>
        </w:rPr>
        <w:t>and</w:t>
      </w:r>
      <w:r w:rsidRPr="0025413D">
        <w:rPr>
          <w:rFonts w:ascii="Times New Roman" w:hAnsi="Times New Roman" w:cs="Times New Roman"/>
          <w:sz w:val="24"/>
          <w:szCs w:val="24"/>
        </w:rPr>
        <w:t xml:space="preserve"> just confused</w:t>
      </w:r>
      <w:r w:rsidR="00E64A8F" w:rsidRPr="0025413D">
        <w:rPr>
          <w:rFonts w:ascii="Times New Roman" w:hAnsi="Times New Roman" w:cs="Times New Roman"/>
          <w:sz w:val="24"/>
          <w:szCs w:val="24"/>
        </w:rPr>
        <w:t xml:space="preserve"> and being influenced by their parents, </w:t>
      </w:r>
      <w:r w:rsidR="0025706C" w:rsidRPr="0025413D">
        <w:rPr>
          <w:rFonts w:ascii="Times New Roman" w:hAnsi="Times New Roman" w:cs="Times New Roman"/>
          <w:sz w:val="24"/>
          <w:szCs w:val="24"/>
        </w:rPr>
        <w:t>media,</w:t>
      </w:r>
      <w:r w:rsidR="00E64A8F" w:rsidRPr="0025413D">
        <w:rPr>
          <w:rFonts w:ascii="Times New Roman" w:hAnsi="Times New Roman" w:cs="Times New Roman"/>
          <w:sz w:val="24"/>
          <w:szCs w:val="24"/>
        </w:rPr>
        <w:t xml:space="preserve"> or other outside forces</w:t>
      </w:r>
      <w:r w:rsidRPr="0025413D">
        <w:rPr>
          <w:rFonts w:ascii="Times New Roman" w:hAnsi="Times New Roman" w:cs="Times New Roman"/>
          <w:sz w:val="24"/>
          <w:szCs w:val="24"/>
        </w:rPr>
        <w:t>. Is there any validity behind this argument</w:t>
      </w:r>
      <w:r w:rsidR="004E72C5" w:rsidRPr="0025413D">
        <w:rPr>
          <w:rFonts w:ascii="Times New Roman" w:hAnsi="Times New Roman" w:cs="Times New Roman"/>
          <w:sz w:val="24"/>
          <w:szCs w:val="24"/>
        </w:rPr>
        <w:t xml:space="preserve"> though</w:t>
      </w:r>
      <w:r w:rsidRPr="0025413D">
        <w:rPr>
          <w:rFonts w:ascii="Times New Roman" w:hAnsi="Times New Roman" w:cs="Times New Roman"/>
          <w:sz w:val="24"/>
          <w:szCs w:val="24"/>
        </w:rPr>
        <w:t xml:space="preserve">? A recent study published </w:t>
      </w:r>
      <w:r w:rsidR="0094446C" w:rsidRPr="0025413D">
        <w:rPr>
          <w:rFonts w:ascii="Times New Roman" w:hAnsi="Times New Roman" w:cs="Times New Roman"/>
          <w:sz w:val="24"/>
          <w:szCs w:val="24"/>
        </w:rPr>
        <w:t>by the National Library of Medicine suggests that there is not. The study hypnotized that</w:t>
      </w:r>
      <w:r w:rsidR="00C77DA9" w:rsidRPr="0025413D">
        <w:rPr>
          <w:rFonts w:ascii="Times New Roman" w:hAnsi="Times New Roman" w:cs="Times New Roman"/>
          <w:sz w:val="24"/>
          <w:szCs w:val="24"/>
        </w:rPr>
        <w:t xml:space="preserve"> “</w:t>
      </w:r>
      <w:r w:rsidR="00C77DA9" w:rsidRPr="0025413D">
        <w:rPr>
          <w:rFonts w:ascii="Times New Roman" w:hAnsi="Times New Roman" w:cs="Times New Roman"/>
          <w:color w:val="212121"/>
          <w:sz w:val="24"/>
          <w:szCs w:val="24"/>
          <w:shd w:val="clear" w:color="auto" w:fill="FFFFFF"/>
        </w:rPr>
        <w:t xml:space="preserve">Because gender is an innate part of identity… that untreated [gender dysphoria] would be a part of individuals’ earliest memories” (Garcia, 2021). The study focused on transgender adults and consisted of 155 transgender women and 55 transgender men. </w:t>
      </w:r>
      <w:r w:rsidR="000E61D2" w:rsidRPr="0025413D">
        <w:rPr>
          <w:rFonts w:ascii="Times New Roman" w:hAnsi="Times New Roman" w:cs="Times New Roman"/>
          <w:color w:val="212121"/>
          <w:sz w:val="24"/>
          <w:szCs w:val="24"/>
          <w:shd w:val="clear" w:color="auto" w:fill="FFFFFF"/>
        </w:rPr>
        <w:t xml:space="preserve">The study found that the most common time frame </w:t>
      </w:r>
      <w:r w:rsidR="00021A15" w:rsidRPr="0025413D">
        <w:rPr>
          <w:rFonts w:ascii="Times New Roman" w:hAnsi="Times New Roman" w:cs="Times New Roman"/>
          <w:color w:val="212121"/>
          <w:sz w:val="24"/>
          <w:szCs w:val="24"/>
          <w:shd w:val="clear" w:color="auto" w:fill="FFFFFF"/>
        </w:rPr>
        <w:t>that both transgender men and women reported their first memory of gender dysphoria was between the ages of five and seven</w:t>
      </w:r>
      <w:r w:rsidR="00D4322E" w:rsidRPr="0025413D">
        <w:rPr>
          <w:rFonts w:ascii="Times New Roman" w:hAnsi="Times New Roman" w:cs="Times New Roman"/>
          <w:color w:val="212121"/>
          <w:sz w:val="24"/>
          <w:szCs w:val="24"/>
          <w:shd w:val="clear" w:color="auto" w:fill="FFFFFF"/>
        </w:rPr>
        <w:t xml:space="preserve"> years old</w:t>
      </w:r>
      <w:r w:rsidR="00021A15" w:rsidRPr="0025413D">
        <w:rPr>
          <w:rFonts w:ascii="Times New Roman" w:hAnsi="Times New Roman" w:cs="Times New Roman"/>
          <w:color w:val="212121"/>
          <w:sz w:val="24"/>
          <w:szCs w:val="24"/>
          <w:shd w:val="clear" w:color="auto" w:fill="FFFFFF"/>
        </w:rPr>
        <w:t xml:space="preserve">. </w:t>
      </w:r>
      <w:r w:rsidR="006C1E2A" w:rsidRPr="0025413D">
        <w:rPr>
          <w:rFonts w:ascii="Times New Roman" w:hAnsi="Times New Roman" w:cs="Times New Roman"/>
          <w:color w:val="212121"/>
          <w:sz w:val="24"/>
          <w:szCs w:val="24"/>
          <w:shd w:val="clear" w:color="auto" w:fill="FFFFFF"/>
        </w:rPr>
        <w:t xml:space="preserve">This </w:t>
      </w:r>
      <w:r w:rsidR="006C1E2A" w:rsidRPr="0025413D">
        <w:rPr>
          <w:rFonts w:ascii="Times New Roman" w:hAnsi="Times New Roman" w:cs="Times New Roman"/>
          <w:color w:val="212121"/>
          <w:sz w:val="24"/>
          <w:szCs w:val="24"/>
          <w:shd w:val="clear" w:color="auto" w:fill="FFFFFF"/>
        </w:rPr>
        <w:lastRenderedPageBreak/>
        <w:t>accounted for 48% of responses by both transgender men and women. The second most reported time frame, accounting for 30% of men and 25% of women, was</w:t>
      </w:r>
      <w:r w:rsidR="00D4322E" w:rsidRPr="0025413D">
        <w:rPr>
          <w:rFonts w:ascii="Times New Roman" w:hAnsi="Times New Roman" w:cs="Times New Roman"/>
          <w:color w:val="212121"/>
          <w:sz w:val="24"/>
          <w:szCs w:val="24"/>
          <w:shd w:val="clear" w:color="auto" w:fill="FFFFFF"/>
        </w:rPr>
        <w:t xml:space="preserve"> between ages two and four years old.</w:t>
      </w:r>
      <w:r w:rsidR="004C524C" w:rsidRPr="0025413D">
        <w:rPr>
          <w:rFonts w:ascii="Times New Roman" w:hAnsi="Times New Roman" w:cs="Times New Roman"/>
          <w:color w:val="212121"/>
          <w:sz w:val="24"/>
          <w:szCs w:val="24"/>
          <w:shd w:val="clear" w:color="auto" w:fill="FFFFFF"/>
        </w:rPr>
        <w:t xml:space="preserve"> </w:t>
      </w:r>
      <w:r w:rsidR="00052AE6" w:rsidRPr="0025413D">
        <w:rPr>
          <w:rFonts w:ascii="Times New Roman" w:hAnsi="Times New Roman" w:cs="Times New Roman"/>
          <w:color w:val="212121"/>
          <w:sz w:val="24"/>
          <w:szCs w:val="24"/>
          <w:shd w:val="clear" w:color="auto" w:fill="FFFFFF"/>
        </w:rPr>
        <w:t xml:space="preserve">This means that 75% of the transgender mean reported that their first memory of gender dysphoria was by the age of 7 years old. Additionally, 80% of them reported that memories of gender dysphoria </w:t>
      </w:r>
      <w:r w:rsidR="00C16964" w:rsidRPr="0025413D">
        <w:rPr>
          <w:rFonts w:ascii="Times New Roman" w:hAnsi="Times New Roman" w:cs="Times New Roman"/>
          <w:color w:val="212121"/>
          <w:sz w:val="24"/>
          <w:szCs w:val="24"/>
          <w:shd w:val="clear" w:color="auto" w:fill="FFFFFF"/>
        </w:rPr>
        <w:t>were</w:t>
      </w:r>
      <w:r w:rsidR="00052AE6" w:rsidRPr="0025413D">
        <w:rPr>
          <w:rFonts w:ascii="Times New Roman" w:hAnsi="Times New Roman" w:cs="Times New Roman"/>
          <w:color w:val="212121"/>
          <w:sz w:val="24"/>
          <w:szCs w:val="24"/>
          <w:shd w:val="clear" w:color="auto" w:fill="FFFFFF"/>
        </w:rPr>
        <w:t xml:space="preserve"> among their first childhood memories. As for the findings of transgender women, a total of 72% of them reported memories of gender dysphoria was by the age of seven. Furthermore, 81% of the transgender women reported that memories </w:t>
      </w:r>
      <w:r w:rsidR="00C16964" w:rsidRPr="0025413D">
        <w:rPr>
          <w:rFonts w:ascii="Times New Roman" w:hAnsi="Times New Roman" w:cs="Times New Roman"/>
          <w:color w:val="212121"/>
          <w:sz w:val="24"/>
          <w:szCs w:val="24"/>
          <w:shd w:val="clear" w:color="auto" w:fill="FFFFFF"/>
        </w:rPr>
        <w:t>of gender</w:t>
      </w:r>
      <w:r w:rsidR="00052AE6" w:rsidRPr="0025413D">
        <w:rPr>
          <w:rFonts w:ascii="Times New Roman" w:hAnsi="Times New Roman" w:cs="Times New Roman"/>
          <w:color w:val="212121"/>
          <w:sz w:val="24"/>
          <w:szCs w:val="24"/>
          <w:shd w:val="clear" w:color="auto" w:fill="FFFFFF"/>
        </w:rPr>
        <w:t xml:space="preserve"> dysphoria were </w:t>
      </w:r>
      <w:r w:rsidR="00C16964" w:rsidRPr="0025413D">
        <w:rPr>
          <w:rFonts w:ascii="Times New Roman" w:hAnsi="Times New Roman" w:cs="Times New Roman"/>
          <w:color w:val="212121"/>
          <w:sz w:val="24"/>
          <w:szCs w:val="24"/>
          <w:shd w:val="clear" w:color="auto" w:fill="FFFFFF"/>
        </w:rPr>
        <w:t>some of their first childhood memories (Garcia, 2021).</w:t>
      </w:r>
      <w:r w:rsidR="00A75360" w:rsidRPr="0025413D">
        <w:rPr>
          <w:rFonts w:ascii="Times New Roman" w:hAnsi="Times New Roman" w:cs="Times New Roman"/>
          <w:color w:val="212121"/>
          <w:sz w:val="24"/>
          <w:szCs w:val="24"/>
          <w:shd w:val="clear" w:color="auto" w:fill="FFFFFF"/>
        </w:rPr>
        <w:t xml:space="preserve"> While there is further research needed, based off current studies most transgender people start experiencing gender dysphoria between the ages of two and seven years old.</w:t>
      </w:r>
      <w:r w:rsidR="00E64A8F" w:rsidRPr="0025413D">
        <w:rPr>
          <w:rFonts w:ascii="Times New Roman" w:hAnsi="Times New Roman" w:cs="Times New Roman"/>
          <w:color w:val="212121"/>
          <w:sz w:val="24"/>
          <w:szCs w:val="24"/>
          <w:shd w:val="clear" w:color="auto" w:fill="FFFFFF"/>
        </w:rPr>
        <w:t xml:space="preserve"> This suggests that the gender dysphoria experienced by children is in fact real.</w:t>
      </w:r>
      <w:r w:rsidR="00A75360" w:rsidRPr="0025413D">
        <w:rPr>
          <w:rFonts w:ascii="Times New Roman" w:hAnsi="Times New Roman" w:cs="Times New Roman"/>
          <w:color w:val="212121"/>
          <w:sz w:val="24"/>
          <w:szCs w:val="24"/>
          <w:shd w:val="clear" w:color="auto" w:fill="FFFFFF"/>
        </w:rPr>
        <w:t xml:space="preserve"> </w:t>
      </w:r>
    </w:p>
    <w:p w14:paraId="5416FFD9" w14:textId="783CBE8E" w:rsidR="00BD6614" w:rsidRPr="0025413D" w:rsidRDefault="00A75360" w:rsidP="0025413D">
      <w:pPr>
        <w:spacing w:line="480" w:lineRule="auto"/>
        <w:rPr>
          <w:rFonts w:ascii="Times New Roman" w:hAnsi="Times New Roman" w:cs="Times New Roman"/>
          <w:color w:val="2A2B2D"/>
          <w:sz w:val="24"/>
          <w:szCs w:val="24"/>
          <w:shd w:val="clear" w:color="auto" w:fill="FFFFFF"/>
        </w:rPr>
      </w:pPr>
      <w:r w:rsidRPr="0025413D">
        <w:rPr>
          <w:rFonts w:ascii="Times New Roman" w:hAnsi="Times New Roman" w:cs="Times New Roman"/>
          <w:color w:val="212121"/>
          <w:sz w:val="24"/>
          <w:szCs w:val="24"/>
          <w:shd w:val="clear" w:color="auto" w:fill="FFFFFF"/>
        </w:rPr>
        <w:tab/>
        <w:t>A</w:t>
      </w:r>
      <w:r w:rsidR="00BB4EB5" w:rsidRPr="0025413D">
        <w:rPr>
          <w:rFonts w:ascii="Times New Roman" w:hAnsi="Times New Roman" w:cs="Times New Roman"/>
          <w:color w:val="212121"/>
          <w:sz w:val="24"/>
          <w:szCs w:val="24"/>
          <w:shd w:val="clear" w:color="auto" w:fill="FFFFFF"/>
        </w:rPr>
        <w:t xml:space="preserve">nother popular </w:t>
      </w:r>
      <w:r w:rsidR="00A400D9" w:rsidRPr="0025413D">
        <w:rPr>
          <w:rFonts w:ascii="Times New Roman" w:hAnsi="Times New Roman" w:cs="Times New Roman"/>
          <w:color w:val="212121"/>
          <w:sz w:val="24"/>
          <w:szCs w:val="24"/>
          <w:shd w:val="clear" w:color="auto" w:fill="FFFFFF"/>
        </w:rPr>
        <w:t>argument</w:t>
      </w:r>
      <w:r w:rsidR="00BB4EB5" w:rsidRPr="0025413D">
        <w:rPr>
          <w:rFonts w:ascii="Times New Roman" w:hAnsi="Times New Roman" w:cs="Times New Roman"/>
          <w:color w:val="212121"/>
          <w:sz w:val="24"/>
          <w:szCs w:val="24"/>
          <w:shd w:val="clear" w:color="auto" w:fill="FFFFFF"/>
        </w:rPr>
        <w:t xml:space="preserve"> those who oppose </w:t>
      </w:r>
      <w:r w:rsidR="00A400D9" w:rsidRPr="0025413D">
        <w:rPr>
          <w:rFonts w:ascii="Times New Roman" w:hAnsi="Times New Roman" w:cs="Times New Roman"/>
          <w:color w:val="212121"/>
          <w:sz w:val="24"/>
          <w:szCs w:val="24"/>
          <w:shd w:val="clear" w:color="auto" w:fill="FFFFFF"/>
        </w:rPr>
        <w:t>gender affirming for adolescents give is that minors should not make permeant medical decisions</w:t>
      </w:r>
      <w:r w:rsidR="00A400D9" w:rsidRPr="0025413D">
        <w:rPr>
          <w:rFonts w:ascii="Times New Roman" w:hAnsi="Times New Roman" w:cs="Times New Roman"/>
          <w:color w:val="212121"/>
          <w:sz w:val="24"/>
          <w:szCs w:val="24"/>
          <w:shd w:val="clear" w:color="auto" w:fill="FFFFFF"/>
        </w:rPr>
        <w:tab/>
        <w:t xml:space="preserve">. This commonly goes hand and had with the previously addressed argument. </w:t>
      </w:r>
      <w:r w:rsidR="00E64A8F" w:rsidRPr="0025413D">
        <w:rPr>
          <w:rFonts w:ascii="Times New Roman" w:hAnsi="Times New Roman" w:cs="Times New Roman"/>
          <w:color w:val="212121"/>
          <w:sz w:val="24"/>
          <w:szCs w:val="24"/>
          <w:shd w:val="clear" w:color="auto" w:fill="FFFFFF"/>
        </w:rPr>
        <w:t xml:space="preserve">Since it has been established that research </w:t>
      </w:r>
      <w:r w:rsidR="00500D65" w:rsidRPr="0025413D">
        <w:rPr>
          <w:rFonts w:ascii="Times New Roman" w:hAnsi="Times New Roman" w:cs="Times New Roman"/>
          <w:color w:val="212121"/>
          <w:sz w:val="24"/>
          <w:szCs w:val="24"/>
          <w:shd w:val="clear" w:color="auto" w:fill="FFFFFF"/>
        </w:rPr>
        <w:t>suggests</w:t>
      </w:r>
      <w:r w:rsidR="00E64A8F" w:rsidRPr="0025413D">
        <w:rPr>
          <w:rFonts w:ascii="Times New Roman" w:hAnsi="Times New Roman" w:cs="Times New Roman"/>
          <w:color w:val="212121"/>
          <w:sz w:val="24"/>
          <w:szCs w:val="24"/>
          <w:shd w:val="clear" w:color="auto" w:fill="FFFFFF"/>
        </w:rPr>
        <w:t xml:space="preserve"> young children can in fact experience gender dysphoria, </w:t>
      </w:r>
      <w:r w:rsidR="0025706C" w:rsidRPr="0025413D">
        <w:rPr>
          <w:rFonts w:ascii="Times New Roman" w:hAnsi="Times New Roman" w:cs="Times New Roman"/>
          <w:color w:val="212121"/>
          <w:sz w:val="24"/>
          <w:szCs w:val="24"/>
          <w:shd w:val="clear" w:color="auto" w:fill="FFFFFF"/>
        </w:rPr>
        <w:t>are</w:t>
      </w:r>
      <w:r w:rsidR="00E64A8F" w:rsidRPr="0025413D">
        <w:rPr>
          <w:rFonts w:ascii="Times New Roman" w:hAnsi="Times New Roman" w:cs="Times New Roman"/>
          <w:color w:val="212121"/>
          <w:sz w:val="24"/>
          <w:szCs w:val="24"/>
          <w:shd w:val="clear" w:color="auto" w:fill="FFFFFF"/>
        </w:rPr>
        <w:t xml:space="preserve"> </w:t>
      </w:r>
      <w:r w:rsidR="00500D65" w:rsidRPr="0025413D">
        <w:rPr>
          <w:rFonts w:ascii="Times New Roman" w:hAnsi="Times New Roman" w:cs="Times New Roman"/>
          <w:color w:val="212121"/>
          <w:sz w:val="24"/>
          <w:szCs w:val="24"/>
          <w:shd w:val="clear" w:color="auto" w:fill="FFFFFF"/>
        </w:rPr>
        <w:t>there</w:t>
      </w:r>
      <w:r w:rsidR="00E64A8F" w:rsidRPr="0025413D">
        <w:rPr>
          <w:rFonts w:ascii="Times New Roman" w:hAnsi="Times New Roman" w:cs="Times New Roman"/>
          <w:color w:val="212121"/>
          <w:sz w:val="24"/>
          <w:szCs w:val="24"/>
          <w:shd w:val="clear" w:color="auto" w:fill="FFFFFF"/>
        </w:rPr>
        <w:t xml:space="preserve"> any facts behind the rest of the argument?</w:t>
      </w:r>
      <w:r w:rsidR="00500D65" w:rsidRPr="0025413D">
        <w:rPr>
          <w:rFonts w:ascii="Times New Roman" w:hAnsi="Times New Roman" w:cs="Times New Roman"/>
          <w:color w:val="212121"/>
          <w:sz w:val="24"/>
          <w:szCs w:val="24"/>
          <w:shd w:val="clear" w:color="auto" w:fill="FFFFFF"/>
        </w:rPr>
        <w:t xml:space="preserve"> </w:t>
      </w:r>
      <w:r w:rsidR="004E72C5" w:rsidRPr="0025413D">
        <w:rPr>
          <w:rFonts w:ascii="Times New Roman" w:hAnsi="Times New Roman" w:cs="Times New Roman"/>
          <w:color w:val="212121"/>
          <w:sz w:val="24"/>
          <w:szCs w:val="24"/>
          <w:shd w:val="clear" w:color="auto" w:fill="FFFFFF"/>
        </w:rPr>
        <w:t>Well, contrary</w:t>
      </w:r>
      <w:r w:rsidR="00500D65" w:rsidRPr="0025413D">
        <w:rPr>
          <w:rFonts w:ascii="Times New Roman" w:hAnsi="Times New Roman" w:cs="Times New Roman"/>
          <w:color w:val="212121"/>
          <w:sz w:val="24"/>
          <w:szCs w:val="24"/>
          <w:shd w:val="clear" w:color="auto" w:fill="FFFFFF"/>
        </w:rPr>
        <w:t xml:space="preserve"> to what some people believe, gender </w:t>
      </w:r>
      <w:r w:rsidR="00BD6614" w:rsidRPr="0025413D">
        <w:rPr>
          <w:rFonts w:ascii="Times New Roman" w:hAnsi="Times New Roman" w:cs="Times New Roman"/>
          <w:color w:val="212121"/>
          <w:sz w:val="24"/>
          <w:szCs w:val="24"/>
          <w:shd w:val="clear" w:color="auto" w:fill="FFFFFF"/>
        </w:rPr>
        <w:t xml:space="preserve">affirming, </w:t>
      </w:r>
      <w:r w:rsidR="00500D65" w:rsidRPr="0025413D">
        <w:rPr>
          <w:rFonts w:ascii="Times New Roman" w:hAnsi="Times New Roman" w:cs="Times New Roman"/>
          <w:color w:val="212121"/>
          <w:sz w:val="24"/>
          <w:szCs w:val="24"/>
          <w:shd w:val="clear" w:color="auto" w:fill="FFFFFF"/>
        </w:rPr>
        <w:t xml:space="preserve">and reassignment surgeries are not common for minors. A </w:t>
      </w:r>
      <w:r w:rsidR="002165F8" w:rsidRPr="0025413D">
        <w:rPr>
          <w:rFonts w:ascii="Times New Roman" w:hAnsi="Times New Roman" w:cs="Times New Roman"/>
          <w:color w:val="212121"/>
          <w:sz w:val="24"/>
          <w:szCs w:val="24"/>
          <w:shd w:val="clear" w:color="auto" w:fill="FFFFFF"/>
        </w:rPr>
        <w:t xml:space="preserve">much </w:t>
      </w:r>
      <w:r w:rsidR="00500D65" w:rsidRPr="0025413D">
        <w:rPr>
          <w:rFonts w:ascii="Times New Roman" w:hAnsi="Times New Roman" w:cs="Times New Roman"/>
          <w:color w:val="212121"/>
          <w:sz w:val="24"/>
          <w:szCs w:val="24"/>
          <w:shd w:val="clear" w:color="auto" w:fill="FFFFFF"/>
        </w:rPr>
        <w:t xml:space="preserve">more common treatment for gender dysphoria in minors is </w:t>
      </w:r>
      <w:r w:rsidR="00500D65" w:rsidRPr="0025413D">
        <w:rPr>
          <w:rFonts w:ascii="Times New Roman" w:hAnsi="Times New Roman" w:cs="Times New Roman"/>
          <w:color w:val="000000"/>
          <w:sz w:val="24"/>
          <w:szCs w:val="24"/>
          <w:shd w:val="clear" w:color="auto" w:fill="FFFFFF"/>
        </w:rPr>
        <w:t>gonadotropin-releasing hormone analogues (</w:t>
      </w:r>
      <w:proofErr w:type="spellStart"/>
      <w:r w:rsidR="00500D65" w:rsidRPr="0025413D">
        <w:rPr>
          <w:rFonts w:ascii="Times New Roman" w:hAnsi="Times New Roman" w:cs="Times New Roman"/>
          <w:color w:val="000000"/>
          <w:sz w:val="24"/>
          <w:szCs w:val="24"/>
          <w:shd w:val="clear" w:color="auto" w:fill="FFFFFF"/>
        </w:rPr>
        <w:t>GnRHa</w:t>
      </w:r>
      <w:proofErr w:type="spellEnd"/>
      <w:r w:rsidR="00500D65" w:rsidRPr="0025413D">
        <w:rPr>
          <w:rFonts w:ascii="Times New Roman" w:hAnsi="Times New Roman" w:cs="Times New Roman"/>
          <w:color w:val="000000"/>
          <w:sz w:val="24"/>
          <w:szCs w:val="24"/>
          <w:shd w:val="clear" w:color="auto" w:fill="FFFFFF"/>
        </w:rPr>
        <w:t>), more commonly referred to as puberty blockers. Puberty blockers are “</w:t>
      </w:r>
      <w:r w:rsidR="00500D65" w:rsidRPr="0025413D">
        <w:rPr>
          <w:rFonts w:ascii="Times New Roman" w:hAnsi="Times New Roman" w:cs="Times New Roman"/>
          <w:color w:val="2A2B2D"/>
          <w:sz w:val="24"/>
          <w:szCs w:val="24"/>
          <w:shd w:val="clear" w:color="auto" w:fill="FFFFFF"/>
        </w:rPr>
        <w:t>considered fully reversible, allows for a “pause” on puberty and for further development of gender identity” (</w:t>
      </w:r>
      <w:proofErr w:type="spellStart"/>
      <w:r w:rsidR="00500D65" w:rsidRPr="0025413D">
        <w:rPr>
          <w:rFonts w:ascii="Times New Roman" w:hAnsi="Times New Roman" w:cs="Times New Roman"/>
          <w:color w:val="2A2B2D"/>
          <w:sz w:val="24"/>
          <w:szCs w:val="24"/>
          <w:shd w:val="clear" w:color="auto" w:fill="FFFFFF"/>
        </w:rPr>
        <w:t>Matouk</w:t>
      </w:r>
      <w:proofErr w:type="spellEnd"/>
      <w:r w:rsidR="00500D65" w:rsidRPr="0025413D">
        <w:rPr>
          <w:rFonts w:ascii="Times New Roman" w:hAnsi="Times New Roman" w:cs="Times New Roman"/>
          <w:color w:val="2A2B2D"/>
          <w:sz w:val="24"/>
          <w:szCs w:val="24"/>
          <w:shd w:val="clear" w:color="auto" w:fill="FFFFFF"/>
        </w:rPr>
        <w:t>, 2022).</w:t>
      </w:r>
      <w:r w:rsidR="0025706C" w:rsidRPr="0025413D">
        <w:rPr>
          <w:rFonts w:ascii="Times New Roman" w:hAnsi="Times New Roman" w:cs="Times New Roman"/>
          <w:color w:val="2A2B2D"/>
          <w:sz w:val="24"/>
          <w:szCs w:val="24"/>
          <w:shd w:val="clear" w:color="auto" w:fill="FFFFFF"/>
        </w:rPr>
        <w:t xml:space="preserve"> Ideally this treatment is started early in puberty, preferably before or during Tanner stage 2-3 (Graham, 2022). </w:t>
      </w:r>
      <w:r w:rsidR="00BD6614" w:rsidRPr="0025413D">
        <w:rPr>
          <w:rFonts w:ascii="Times New Roman" w:hAnsi="Times New Roman" w:cs="Times New Roman"/>
          <w:color w:val="2A2B2D"/>
          <w:sz w:val="24"/>
          <w:szCs w:val="24"/>
          <w:shd w:val="clear" w:color="auto" w:fill="FFFFFF"/>
        </w:rPr>
        <w:t xml:space="preserve">Later in a </w:t>
      </w:r>
      <w:r w:rsidR="002165F8" w:rsidRPr="0025413D">
        <w:rPr>
          <w:rFonts w:ascii="Times New Roman" w:hAnsi="Times New Roman" w:cs="Times New Roman"/>
          <w:color w:val="2A2B2D"/>
          <w:sz w:val="24"/>
          <w:szCs w:val="24"/>
          <w:shd w:val="clear" w:color="auto" w:fill="FFFFFF"/>
        </w:rPr>
        <w:t>child’s</w:t>
      </w:r>
      <w:r w:rsidR="00BD6614" w:rsidRPr="0025413D">
        <w:rPr>
          <w:rFonts w:ascii="Times New Roman" w:hAnsi="Times New Roman" w:cs="Times New Roman"/>
          <w:color w:val="2A2B2D"/>
          <w:sz w:val="24"/>
          <w:szCs w:val="24"/>
          <w:shd w:val="clear" w:color="auto" w:fill="FFFFFF"/>
        </w:rPr>
        <w:t xml:space="preserve"> teen years their doctor may also chose to prescribe cross-sex hormones. This therapy “involves the use of feminizing or masculinizing hormones to allow the body to develop physical </w:t>
      </w:r>
      <w:r w:rsidR="00BD6614" w:rsidRPr="0025413D">
        <w:rPr>
          <w:rFonts w:ascii="Times New Roman" w:hAnsi="Times New Roman" w:cs="Times New Roman"/>
          <w:color w:val="2A2B2D"/>
          <w:sz w:val="24"/>
          <w:szCs w:val="24"/>
          <w:shd w:val="clear" w:color="auto" w:fill="FFFFFF"/>
        </w:rPr>
        <w:lastRenderedPageBreak/>
        <w:t>changes that align with a person’s gender identity, also signifyingly decreases gender dysphoria” (</w:t>
      </w:r>
      <w:proofErr w:type="spellStart"/>
      <w:r w:rsidR="00BD6614" w:rsidRPr="0025413D">
        <w:rPr>
          <w:rFonts w:ascii="Times New Roman" w:hAnsi="Times New Roman" w:cs="Times New Roman"/>
          <w:color w:val="2A2B2D"/>
          <w:sz w:val="24"/>
          <w:szCs w:val="24"/>
          <w:shd w:val="clear" w:color="auto" w:fill="FFFFFF"/>
        </w:rPr>
        <w:t>Matouk</w:t>
      </w:r>
      <w:proofErr w:type="spellEnd"/>
      <w:r w:rsidR="00BD6614" w:rsidRPr="0025413D">
        <w:rPr>
          <w:rFonts w:ascii="Times New Roman" w:hAnsi="Times New Roman" w:cs="Times New Roman"/>
          <w:color w:val="2A2B2D"/>
          <w:sz w:val="24"/>
          <w:szCs w:val="24"/>
          <w:shd w:val="clear" w:color="auto" w:fill="FFFFFF"/>
        </w:rPr>
        <w:t xml:space="preserve">, 2022). </w:t>
      </w:r>
    </w:p>
    <w:p w14:paraId="3023B72E" w14:textId="4CB6966D" w:rsidR="007D0D37" w:rsidRPr="0025413D" w:rsidRDefault="00BD6614" w:rsidP="0025413D">
      <w:pPr>
        <w:spacing w:line="480" w:lineRule="auto"/>
        <w:rPr>
          <w:rFonts w:ascii="Times New Roman" w:hAnsi="Times New Roman" w:cs="Times New Roman"/>
          <w:color w:val="212121"/>
          <w:sz w:val="24"/>
          <w:szCs w:val="24"/>
          <w:shd w:val="clear" w:color="auto" w:fill="FFFFFF"/>
        </w:rPr>
      </w:pPr>
      <w:r w:rsidRPr="0025413D">
        <w:rPr>
          <w:rFonts w:ascii="Times New Roman" w:hAnsi="Times New Roman" w:cs="Times New Roman"/>
          <w:color w:val="2A2B2D"/>
          <w:sz w:val="24"/>
          <w:szCs w:val="24"/>
          <w:shd w:val="clear" w:color="auto" w:fill="FFFFFF"/>
        </w:rPr>
        <w:tab/>
        <w:t xml:space="preserve">As mentioned previously puberty blockers are considered fully reversible. With </w:t>
      </w:r>
      <w:proofErr w:type="gramStart"/>
      <w:r w:rsidRPr="0025413D">
        <w:rPr>
          <w:rFonts w:ascii="Times New Roman" w:hAnsi="Times New Roman" w:cs="Times New Roman"/>
          <w:color w:val="2A2B2D"/>
          <w:sz w:val="24"/>
          <w:szCs w:val="24"/>
          <w:shd w:val="clear" w:color="auto" w:fill="FFFFFF"/>
        </w:rPr>
        <w:t>that being said it</w:t>
      </w:r>
      <w:proofErr w:type="gramEnd"/>
      <w:r w:rsidRPr="0025413D">
        <w:rPr>
          <w:rFonts w:ascii="Times New Roman" w:hAnsi="Times New Roman" w:cs="Times New Roman"/>
          <w:color w:val="2A2B2D"/>
          <w:sz w:val="24"/>
          <w:szCs w:val="24"/>
          <w:shd w:val="clear" w:color="auto" w:fill="FFFFFF"/>
        </w:rPr>
        <w:t xml:space="preserve"> is also important to note that only an extremely small percentage of individuals change their minds. According to the National Library of Medicine, </w:t>
      </w:r>
      <w:r w:rsidRPr="0025413D">
        <w:rPr>
          <w:rFonts w:ascii="Times New Roman" w:hAnsi="Times New Roman" w:cs="Times New Roman"/>
          <w:color w:val="212121"/>
          <w:sz w:val="24"/>
          <w:szCs w:val="24"/>
          <w:shd w:val="clear" w:color="auto" w:fill="FFFFFF"/>
        </w:rPr>
        <w:t>between 1.4 and 3.5% end up wishing to not continue with their treatments. So,</w:t>
      </w:r>
      <w:r w:rsidR="00FF3AC4" w:rsidRPr="0025413D">
        <w:rPr>
          <w:rFonts w:ascii="Times New Roman" w:hAnsi="Times New Roman" w:cs="Times New Roman"/>
          <w:color w:val="212121"/>
          <w:sz w:val="24"/>
          <w:szCs w:val="24"/>
          <w:shd w:val="clear" w:color="auto" w:fill="FFFFFF"/>
        </w:rPr>
        <w:t xml:space="preserve"> since puberty blockers are considered fully reversible and since such a small percentage of individuals chose to stop treatment, not to mention the fact they are prescribed by doctors</w:t>
      </w:r>
      <w:r w:rsidR="004E72C5" w:rsidRPr="0025413D">
        <w:rPr>
          <w:rFonts w:ascii="Times New Roman" w:hAnsi="Times New Roman" w:cs="Times New Roman"/>
          <w:color w:val="212121"/>
          <w:sz w:val="24"/>
          <w:szCs w:val="24"/>
          <w:shd w:val="clear" w:color="auto" w:fill="FFFFFF"/>
        </w:rPr>
        <w:t xml:space="preserve"> and are known to decrease gender dysphoria</w:t>
      </w:r>
      <w:r w:rsidR="00FF3AC4" w:rsidRPr="0025413D">
        <w:rPr>
          <w:rFonts w:ascii="Times New Roman" w:hAnsi="Times New Roman" w:cs="Times New Roman"/>
          <w:color w:val="212121"/>
          <w:sz w:val="24"/>
          <w:szCs w:val="24"/>
          <w:shd w:val="clear" w:color="auto" w:fill="FFFFFF"/>
        </w:rPr>
        <w:t xml:space="preserve">, there seems to be no medically valid reason at this time to ban access to them. </w:t>
      </w:r>
      <w:r w:rsidR="002165F8" w:rsidRPr="0025413D">
        <w:rPr>
          <w:rFonts w:ascii="Times New Roman" w:hAnsi="Times New Roman" w:cs="Times New Roman"/>
          <w:color w:val="212121"/>
          <w:sz w:val="24"/>
          <w:szCs w:val="24"/>
          <w:shd w:val="clear" w:color="auto" w:fill="FFFFFF"/>
        </w:rPr>
        <w:t>What about the other side of the argument though?</w:t>
      </w:r>
    </w:p>
    <w:p w14:paraId="3B47394F" w14:textId="3C65B8D6" w:rsidR="002165F8" w:rsidRPr="0025413D" w:rsidRDefault="002165F8" w:rsidP="0025413D">
      <w:pPr>
        <w:spacing w:line="480" w:lineRule="auto"/>
        <w:rPr>
          <w:rFonts w:ascii="Times New Roman" w:hAnsi="Times New Roman" w:cs="Times New Roman"/>
          <w:color w:val="212121"/>
          <w:sz w:val="24"/>
          <w:szCs w:val="24"/>
          <w:shd w:val="clear" w:color="auto" w:fill="FFFFFF"/>
        </w:rPr>
      </w:pPr>
      <w:r w:rsidRPr="0025413D">
        <w:rPr>
          <w:rFonts w:ascii="Times New Roman" w:hAnsi="Times New Roman" w:cs="Times New Roman"/>
          <w:color w:val="212121"/>
          <w:sz w:val="24"/>
          <w:szCs w:val="24"/>
          <w:shd w:val="clear" w:color="auto" w:fill="FFFFFF"/>
        </w:rPr>
        <w:tab/>
        <w:t xml:space="preserve">By far the biggest argument for protecting minors access to gender affirming care is that it saves lives. How much do we </w:t>
      </w:r>
      <w:proofErr w:type="gramStart"/>
      <w:r w:rsidRPr="0025413D">
        <w:rPr>
          <w:rFonts w:ascii="Times New Roman" w:hAnsi="Times New Roman" w:cs="Times New Roman"/>
          <w:color w:val="212121"/>
          <w:sz w:val="24"/>
          <w:szCs w:val="24"/>
          <w:shd w:val="clear" w:color="auto" w:fill="FFFFFF"/>
        </w:rPr>
        <w:t>actually know</w:t>
      </w:r>
      <w:proofErr w:type="gramEnd"/>
      <w:r w:rsidRPr="0025413D">
        <w:rPr>
          <w:rFonts w:ascii="Times New Roman" w:hAnsi="Times New Roman" w:cs="Times New Roman"/>
          <w:color w:val="212121"/>
          <w:sz w:val="24"/>
          <w:szCs w:val="24"/>
          <w:shd w:val="clear" w:color="auto" w:fill="FFFFFF"/>
        </w:rPr>
        <w:t xml:space="preserve"> about this though? It is no secret that LGBTQ+ youth experience much higher rates of mental heath issues than their peers. In fact, according to the Nation Library of Medicine </w:t>
      </w:r>
      <w:r w:rsidR="00174181" w:rsidRPr="0025413D">
        <w:rPr>
          <w:rFonts w:ascii="Times New Roman" w:hAnsi="Times New Roman" w:cs="Times New Roman"/>
          <w:color w:val="212121"/>
          <w:sz w:val="24"/>
          <w:szCs w:val="24"/>
          <w:shd w:val="clear" w:color="auto" w:fill="FFFFFF"/>
        </w:rPr>
        <w:t>numerous</w:t>
      </w:r>
      <w:r w:rsidRPr="0025413D">
        <w:rPr>
          <w:rFonts w:ascii="Times New Roman" w:hAnsi="Times New Roman" w:cs="Times New Roman"/>
          <w:color w:val="212121"/>
          <w:sz w:val="24"/>
          <w:szCs w:val="24"/>
          <w:shd w:val="clear" w:color="auto" w:fill="FFFFFF"/>
        </w:rPr>
        <w:t xml:space="preserve"> studies have shown that transgender youth</w:t>
      </w:r>
      <w:r w:rsidR="00174181" w:rsidRPr="0025413D">
        <w:rPr>
          <w:rFonts w:ascii="Times New Roman" w:hAnsi="Times New Roman" w:cs="Times New Roman"/>
          <w:color w:val="212121"/>
          <w:sz w:val="24"/>
          <w:szCs w:val="24"/>
          <w:shd w:val="clear" w:color="auto" w:fill="FFFFFF"/>
        </w:rPr>
        <w:t xml:space="preserve"> have </w:t>
      </w:r>
      <w:r w:rsidR="0040464A" w:rsidRPr="0025413D">
        <w:rPr>
          <w:rFonts w:ascii="Times New Roman" w:hAnsi="Times New Roman" w:cs="Times New Roman"/>
          <w:color w:val="212121"/>
          <w:sz w:val="24"/>
          <w:szCs w:val="24"/>
          <w:shd w:val="clear" w:color="auto" w:fill="FFFFFF"/>
        </w:rPr>
        <w:t>a “</w:t>
      </w:r>
      <w:r w:rsidRPr="0025413D">
        <w:rPr>
          <w:rFonts w:ascii="Times New Roman" w:hAnsi="Times New Roman" w:cs="Times New Roman"/>
          <w:color w:val="212121"/>
          <w:sz w:val="24"/>
          <w:szCs w:val="24"/>
          <w:shd w:val="clear" w:color="auto" w:fill="FFFFFF"/>
        </w:rPr>
        <w:t>high prevalence of often severe mental health problems</w:t>
      </w:r>
      <w:r w:rsidR="00174181" w:rsidRPr="0025413D">
        <w:rPr>
          <w:rFonts w:ascii="Times New Roman" w:hAnsi="Times New Roman" w:cs="Times New Roman"/>
          <w:color w:val="212121"/>
          <w:sz w:val="24"/>
          <w:szCs w:val="24"/>
          <w:shd w:val="clear" w:color="auto" w:fill="FFFFFF"/>
        </w:rPr>
        <w:t>” (</w:t>
      </w:r>
      <w:proofErr w:type="spellStart"/>
      <w:r w:rsidR="00174181" w:rsidRPr="0025413D">
        <w:rPr>
          <w:rFonts w:ascii="Times New Roman" w:hAnsi="Times New Roman" w:cs="Times New Roman"/>
          <w:color w:val="212121"/>
          <w:sz w:val="24"/>
          <w:szCs w:val="24"/>
          <w:shd w:val="clear" w:color="auto" w:fill="FFFFFF"/>
        </w:rPr>
        <w:t>Mezzalira</w:t>
      </w:r>
      <w:proofErr w:type="spellEnd"/>
      <w:r w:rsidR="00174181" w:rsidRPr="0025413D">
        <w:rPr>
          <w:rFonts w:ascii="Times New Roman" w:hAnsi="Times New Roman" w:cs="Times New Roman"/>
          <w:color w:val="212121"/>
          <w:sz w:val="24"/>
          <w:szCs w:val="24"/>
          <w:shd w:val="clear" w:color="auto" w:fill="FFFFFF"/>
        </w:rPr>
        <w:t>, 2022).</w:t>
      </w:r>
      <w:r w:rsidR="0040464A" w:rsidRPr="0025413D">
        <w:rPr>
          <w:rFonts w:ascii="Times New Roman" w:hAnsi="Times New Roman" w:cs="Times New Roman"/>
          <w:color w:val="212121"/>
          <w:sz w:val="24"/>
          <w:szCs w:val="24"/>
          <w:shd w:val="clear" w:color="auto" w:fill="FFFFFF"/>
        </w:rPr>
        <w:t xml:space="preserve"> In one study over 90% of participants were diagnosed with depression, anxiety, post-traumatic stress disorder (PTSD), eating disorders, ASD, and/or bipolar disorder (</w:t>
      </w:r>
      <w:proofErr w:type="spellStart"/>
      <w:r w:rsidR="0040464A" w:rsidRPr="0025413D">
        <w:rPr>
          <w:rFonts w:ascii="Times New Roman" w:hAnsi="Times New Roman" w:cs="Times New Roman"/>
          <w:color w:val="212121"/>
          <w:sz w:val="24"/>
          <w:szCs w:val="24"/>
          <w:shd w:val="clear" w:color="auto" w:fill="FFFFFF"/>
        </w:rPr>
        <w:t>Mezzalira</w:t>
      </w:r>
      <w:proofErr w:type="spellEnd"/>
      <w:r w:rsidR="0040464A" w:rsidRPr="0025413D">
        <w:rPr>
          <w:rFonts w:ascii="Times New Roman" w:hAnsi="Times New Roman" w:cs="Times New Roman"/>
          <w:color w:val="212121"/>
          <w:sz w:val="24"/>
          <w:szCs w:val="24"/>
          <w:shd w:val="clear" w:color="auto" w:fill="FFFFFF"/>
        </w:rPr>
        <w:t xml:space="preserve">, 2022). There is very little information on how gender affirming care affects these numbers in adolescents, however one study discussed earlier helps provide some insight. </w:t>
      </w:r>
    </w:p>
    <w:p w14:paraId="24BA128D" w14:textId="24FB4408" w:rsidR="00822D57" w:rsidRPr="0025413D" w:rsidRDefault="00822D57" w:rsidP="0025413D">
      <w:pPr>
        <w:spacing w:line="480" w:lineRule="auto"/>
        <w:rPr>
          <w:rFonts w:ascii="Times New Roman" w:hAnsi="Times New Roman" w:cs="Times New Roman"/>
          <w:color w:val="212121"/>
          <w:sz w:val="24"/>
          <w:szCs w:val="24"/>
          <w:shd w:val="clear" w:color="auto" w:fill="FFFFFF"/>
        </w:rPr>
      </w:pPr>
      <w:r w:rsidRPr="0025413D">
        <w:rPr>
          <w:rFonts w:ascii="Times New Roman" w:hAnsi="Times New Roman" w:cs="Times New Roman"/>
          <w:color w:val="212121"/>
          <w:sz w:val="24"/>
          <w:szCs w:val="24"/>
          <w:shd w:val="clear" w:color="auto" w:fill="FFFFFF"/>
        </w:rPr>
        <w:tab/>
        <w:t xml:space="preserve">The study published </w:t>
      </w:r>
      <w:r w:rsidRPr="0025413D">
        <w:rPr>
          <w:rFonts w:ascii="Times New Roman" w:hAnsi="Times New Roman" w:cs="Times New Roman"/>
          <w:sz w:val="24"/>
          <w:szCs w:val="24"/>
        </w:rPr>
        <w:t xml:space="preserve">by the National Library of Medicine </w:t>
      </w:r>
      <w:r w:rsidRPr="0025413D">
        <w:rPr>
          <w:rFonts w:ascii="Times New Roman" w:hAnsi="Times New Roman" w:cs="Times New Roman"/>
          <w:color w:val="212121"/>
          <w:sz w:val="24"/>
          <w:szCs w:val="24"/>
          <w:shd w:val="clear" w:color="auto" w:fill="FFFFFF"/>
        </w:rPr>
        <w:t xml:space="preserve">consisted of 55 transgender men 155 and transgender women. Of the 55 transgender men </w:t>
      </w:r>
      <w:r w:rsidR="00FA1E86" w:rsidRPr="0025413D">
        <w:rPr>
          <w:rFonts w:ascii="Times New Roman" w:hAnsi="Times New Roman" w:cs="Times New Roman"/>
          <w:color w:val="212121"/>
          <w:sz w:val="24"/>
          <w:szCs w:val="24"/>
          <w:shd w:val="clear" w:color="auto" w:fill="FFFFFF"/>
        </w:rPr>
        <w:t xml:space="preserve">18% reported one or more suicide attempts pre-transition. After starting transitioning however, no participants had any suicide </w:t>
      </w:r>
      <w:r w:rsidR="00FA1E86" w:rsidRPr="0025413D">
        <w:rPr>
          <w:rFonts w:ascii="Times New Roman" w:hAnsi="Times New Roman" w:cs="Times New Roman"/>
          <w:color w:val="212121"/>
          <w:sz w:val="24"/>
          <w:szCs w:val="24"/>
          <w:shd w:val="clear" w:color="auto" w:fill="FFFFFF"/>
        </w:rPr>
        <w:lastRenderedPageBreak/>
        <w:t xml:space="preserve">attempts. The number of transgender women who reported one or more suicide attempts was even higher. Of the 155 participants 30% reported at least one attempted suicide before starting transitioning. Same as with the transgender men, none of the women reported another suicide attempt after starting transitioning (Garcia, 2021). While further research regarding adolescents is still needed, it is </w:t>
      </w:r>
      <w:r w:rsidR="00B0288C" w:rsidRPr="0025413D">
        <w:rPr>
          <w:rFonts w:ascii="Times New Roman" w:hAnsi="Times New Roman" w:cs="Times New Roman"/>
          <w:color w:val="212121"/>
          <w:sz w:val="24"/>
          <w:szCs w:val="24"/>
          <w:shd w:val="clear" w:color="auto" w:fill="FFFFFF"/>
        </w:rPr>
        <w:t>safe</w:t>
      </w:r>
      <w:r w:rsidR="00FA1E86" w:rsidRPr="0025413D">
        <w:rPr>
          <w:rFonts w:ascii="Times New Roman" w:hAnsi="Times New Roman" w:cs="Times New Roman"/>
          <w:color w:val="212121"/>
          <w:sz w:val="24"/>
          <w:szCs w:val="24"/>
          <w:shd w:val="clear" w:color="auto" w:fill="FFFFFF"/>
        </w:rPr>
        <w:t xml:space="preserve"> to say that based on current research, gender affirming care does in fact save lives. </w:t>
      </w:r>
    </w:p>
    <w:p w14:paraId="241701A7" w14:textId="49A7CFD1" w:rsidR="00056878" w:rsidRPr="0025413D" w:rsidRDefault="00B0288C" w:rsidP="0025413D">
      <w:pPr>
        <w:spacing w:line="480" w:lineRule="auto"/>
        <w:rPr>
          <w:rFonts w:ascii="Times New Roman" w:hAnsi="Times New Roman" w:cs="Times New Roman"/>
          <w:color w:val="212121"/>
          <w:sz w:val="24"/>
          <w:szCs w:val="24"/>
          <w:shd w:val="clear" w:color="auto" w:fill="FFFFFF"/>
        </w:rPr>
      </w:pPr>
      <w:r w:rsidRPr="0025413D">
        <w:rPr>
          <w:rFonts w:ascii="Times New Roman" w:hAnsi="Times New Roman" w:cs="Times New Roman"/>
          <w:color w:val="212121"/>
          <w:sz w:val="24"/>
          <w:szCs w:val="24"/>
          <w:shd w:val="clear" w:color="auto" w:fill="FFFFFF"/>
        </w:rPr>
        <w:tab/>
        <w:t xml:space="preserve">It is important to note that research surrounding gender dysphoria, especially in adolescents and children, is extremely limited. </w:t>
      </w:r>
      <w:proofErr w:type="gramStart"/>
      <w:r w:rsidRPr="0025413D">
        <w:rPr>
          <w:rFonts w:ascii="Times New Roman" w:hAnsi="Times New Roman" w:cs="Times New Roman"/>
          <w:color w:val="212121"/>
          <w:sz w:val="24"/>
          <w:szCs w:val="24"/>
          <w:shd w:val="clear" w:color="auto" w:fill="FFFFFF"/>
        </w:rPr>
        <w:t>In order to</w:t>
      </w:r>
      <w:proofErr w:type="gramEnd"/>
      <w:r w:rsidRPr="0025413D">
        <w:rPr>
          <w:rFonts w:ascii="Times New Roman" w:hAnsi="Times New Roman" w:cs="Times New Roman"/>
          <w:color w:val="212121"/>
          <w:sz w:val="24"/>
          <w:szCs w:val="24"/>
          <w:shd w:val="clear" w:color="auto" w:fill="FFFFFF"/>
        </w:rPr>
        <w:t xml:space="preserve"> gain a better understanding </w:t>
      </w:r>
      <w:proofErr w:type="gramStart"/>
      <w:r w:rsidRPr="0025413D">
        <w:rPr>
          <w:rFonts w:ascii="Times New Roman" w:hAnsi="Times New Roman" w:cs="Times New Roman"/>
          <w:color w:val="212121"/>
          <w:sz w:val="24"/>
          <w:szCs w:val="24"/>
          <w:shd w:val="clear" w:color="auto" w:fill="FFFFFF"/>
        </w:rPr>
        <w:t>about</w:t>
      </w:r>
      <w:proofErr w:type="gramEnd"/>
      <w:r w:rsidRPr="0025413D">
        <w:rPr>
          <w:rFonts w:ascii="Times New Roman" w:hAnsi="Times New Roman" w:cs="Times New Roman"/>
          <w:color w:val="212121"/>
          <w:sz w:val="24"/>
          <w:szCs w:val="24"/>
          <w:shd w:val="clear" w:color="auto" w:fill="FFFFFF"/>
        </w:rPr>
        <w:t xml:space="preserve"> these topics much more research is needed. In conclusion, this </w:t>
      </w:r>
      <w:r w:rsidR="005746E3" w:rsidRPr="0025413D">
        <w:rPr>
          <w:rFonts w:ascii="Times New Roman" w:hAnsi="Times New Roman" w:cs="Times New Roman"/>
          <w:color w:val="212121"/>
          <w:sz w:val="24"/>
          <w:szCs w:val="24"/>
          <w:shd w:val="clear" w:color="auto" w:fill="FFFFFF"/>
        </w:rPr>
        <w:t xml:space="preserve">paper has examined the research we have regarding dysphoria in children and adolescents. While further research is needed, based on current knowledge it is safe to say that children can and do experience gender dysphoria and </w:t>
      </w:r>
      <w:r w:rsidR="00056878" w:rsidRPr="0025413D">
        <w:rPr>
          <w:rFonts w:ascii="Times New Roman" w:hAnsi="Times New Roman" w:cs="Times New Roman"/>
          <w:color w:val="212121"/>
          <w:sz w:val="24"/>
          <w:szCs w:val="24"/>
          <w:shd w:val="clear" w:color="auto" w:fill="FFFFFF"/>
        </w:rPr>
        <w:t>that gender</w:t>
      </w:r>
      <w:r w:rsidR="005746E3" w:rsidRPr="0025413D">
        <w:rPr>
          <w:rFonts w:ascii="Times New Roman" w:hAnsi="Times New Roman" w:cs="Times New Roman"/>
          <w:color w:val="212121"/>
          <w:sz w:val="24"/>
          <w:szCs w:val="24"/>
          <w:shd w:val="clear" w:color="auto" w:fill="FFFFFF"/>
        </w:rPr>
        <w:t xml:space="preserve"> affirming care is not only </w:t>
      </w:r>
      <w:r w:rsidR="00056878" w:rsidRPr="0025413D">
        <w:rPr>
          <w:rFonts w:ascii="Times New Roman" w:hAnsi="Times New Roman" w:cs="Times New Roman"/>
          <w:color w:val="212121"/>
          <w:sz w:val="24"/>
          <w:szCs w:val="24"/>
          <w:shd w:val="clear" w:color="auto" w:fill="FFFFFF"/>
        </w:rPr>
        <w:t xml:space="preserve">beneficial, but it can also potentially save lives. </w:t>
      </w:r>
      <w:r w:rsidRPr="0025413D">
        <w:rPr>
          <w:rFonts w:ascii="Times New Roman" w:hAnsi="Times New Roman" w:cs="Times New Roman"/>
          <w:color w:val="212121"/>
          <w:sz w:val="24"/>
          <w:szCs w:val="24"/>
          <w:shd w:val="clear" w:color="auto" w:fill="FFFFFF"/>
        </w:rPr>
        <w:tab/>
      </w:r>
    </w:p>
    <w:p w14:paraId="45DC6E0D" w14:textId="77777777" w:rsidR="00056878" w:rsidRPr="0025413D" w:rsidRDefault="00056878" w:rsidP="0025413D">
      <w:pPr>
        <w:spacing w:line="480" w:lineRule="auto"/>
        <w:rPr>
          <w:rFonts w:ascii="Times New Roman" w:hAnsi="Times New Roman" w:cs="Times New Roman"/>
          <w:color w:val="212121"/>
          <w:sz w:val="24"/>
          <w:szCs w:val="24"/>
          <w:shd w:val="clear" w:color="auto" w:fill="FFFFFF"/>
        </w:rPr>
      </w:pPr>
      <w:r w:rsidRPr="0025413D">
        <w:rPr>
          <w:rFonts w:ascii="Times New Roman" w:hAnsi="Times New Roman" w:cs="Times New Roman"/>
          <w:color w:val="212121"/>
          <w:sz w:val="24"/>
          <w:szCs w:val="24"/>
          <w:shd w:val="clear" w:color="auto" w:fill="FFFFFF"/>
        </w:rPr>
        <w:br w:type="page"/>
      </w:r>
    </w:p>
    <w:p w14:paraId="1DA7CE73" w14:textId="65C2DC72" w:rsidR="00B0288C" w:rsidRPr="0025413D" w:rsidRDefault="00056878" w:rsidP="0025413D">
      <w:pPr>
        <w:spacing w:line="480" w:lineRule="auto"/>
        <w:jc w:val="center"/>
        <w:rPr>
          <w:rFonts w:ascii="Times New Roman" w:hAnsi="Times New Roman" w:cs="Times New Roman"/>
          <w:color w:val="212121"/>
          <w:sz w:val="24"/>
          <w:szCs w:val="24"/>
          <w:shd w:val="clear" w:color="auto" w:fill="FFFFFF"/>
        </w:rPr>
      </w:pPr>
      <w:r w:rsidRPr="0025413D">
        <w:rPr>
          <w:rFonts w:ascii="Times New Roman" w:hAnsi="Times New Roman" w:cs="Times New Roman"/>
          <w:color w:val="212121"/>
          <w:sz w:val="24"/>
          <w:szCs w:val="24"/>
          <w:shd w:val="clear" w:color="auto" w:fill="FFFFFF"/>
        </w:rPr>
        <w:lastRenderedPageBreak/>
        <w:t xml:space="preserve">Sources </w:t>
      </w:r>
    </w:p>
    <w:p w14:paraId="71EE9B32" w14:textId="77777777" w:rsidR="0025413D" w:rsidRPr="0025413D" w:rsidRDefault="0025413D" w:rsidP="0025413D">
      <w:pPr>
        <w:pStyle w:val="NormalWeb"/>
        <w:spacing w:line="480" w:lineRule="auto"/>
        <w:ind w:left="567" w:hanging="567"/>
      </w:pPr>
      <w:r w:rsidRPr="0025413D">
        <w:t xml:space="preserve">Burns, S. R. (2019). </w:t>
      </w:r>
      <w:r w:rsidRPr="0025413D">
        <w:rPr>
          <w:i/>
          <w:iCs/>
        </w:rPr>
        <w:t>Psychology of sex and gender</w:t>
      </w:r>
      <w:r w:rsidRPr="0025413D">
        <w:t xml:space="preserve">. Worth Publishers, Macmillan Learning. </w:t>
      </w:r>
    </w:p>
    <w:p w14:paraId="69C4B84F" w14:textId="77777777" w:rsidR="0025413D" w:rsidRPr="0025413D" w:rsidRDefault="0025413D" w:rsidP="0025413D">
      <w:pPr>
        <w:pStyle w:val="NormalWeb"/>
        <w:spacing w:line="480" w:lineRule="auto"/>
        <w:ind w:left="567" w:hanging="567"/>
      </w:pPr>
      <w:r w:rsidRPr="0025413D">
        <w:t xml:space="preserve">Graham, P. (2023, April). </w:t>
      </w:r>
      <w:r w:rsidRPr="0025413D">
        <w:rPr>
          <w:i/>
          <w:iCs/>
        </w:rPr>
        <w:t>Transgender Children and young people: How the evidence can point the way forward</w:t>
      </w:r>
      <w:r w:rsidRPr="0025413D">
        <w:t xml:space="preserve">. </w:t>
      </w:r>
      <w:proofErr w:type="spellStart"/>
      <w:r w:rsidRPr="0025413D">
        <w:t>BJPsych</w:t>
      </w:r>
      <w:proofErr w:type="spellEnd"/>
      <w:r w:rsidRPr="0025413D">
        <w:t xml:space="preserve"> bulletin. https://www.ncbi.nlm.nih.gov/pmc/articles/PMC10063975/ </w:t>
      </w:r>
    </w:p>
    <w:p w14:paraId="3ADFA550" w14:textId="77777777" w:rsidR="0025413D" w:rsidRPr="0025413D" w:rsidRDefault="0025413D" w:rsidP="0025413D">
      <w:pPr>
        <w:pStyle w:val="NormalWeb"/>
        <w:spacing w:line="480" w:lineRule="auto"/>
        <w:ind w:left="567" w:hanging="567"/>
      </w:pPr>
      <w:proofErr w:type="spellStart"/>
      <w:proofErr w:type="gramStart"/>
      <w:r w:rsidRPr="0025413D">
        <w:t>Matouk</w:t>
      </w:r>
      <w:proofErr w:type="spellEnd"/>
      <w:r w:rsidRPr="0025413D">
        <w:t xml:space="preserve"> ,</w:t>
      </w:r>
      <w:proofErr w:type="gramEnd"/>
      <w:r w:rsidRPr="0025413D">
        <w:t xml:space="preserve"> K., &amp; Wald, M. (2022, December 8). </w:t>
      </w:r>
      <w:r w:rsidRPr="0025413D">
        <w:rPr>
          <w:i/>
          <w:iCs/>
        </w:rPr>
        <w:t>Gender-affirming care saves lives</w:t>
      </w:r>
      <w:r w:rsidRPr="0025413D">
        <w:t xml:space="preserve">. Columbia University Department of Psychiatry. https://www.columbiapsychiatry.org/news/gender-affirming-care-saves-lives </w:t>
      </w:r>
    </w:p>
    <w:p w14:paraId="30D5B625" w14:textId="77777777" w:rsidR="0025413D" w:rsidRPr="0025413D" w:rsidRDefault="0025413D" w:rsidP="0025413D">
      <w:pPr>
        <w:pStyle w:val="NormalWeb"/>
        <w:spacing w:line="480" w:lineRule="auto"/>
        <w:ind w:left="567" w:hanging="567"/>
      </w:pPr>
      <w:r w:rsidRPr="0025413D">
        <w:t xml:space="preserve">Mayo Clinic. (2022, February 26). Gender dysphoria. https://www.mayoclinic.org/diseases-conditions/gender-dysphoria/symptoms-causes/syc-20475255 </w:t>
      </w:r>
    </w:p>
    <w:p w14:paraId="11B9793E" w14:textId="77777777" w:rsidR="0025413D" w:rsidRPr="0025413D" w:rsidRDefault="0025413D" w:rsidP="0025413D">
      <w:pPr>
        <w:pStyle w:val="NormalWeb"/>
        <w:spacing w:line="480" w:lineRule="auto"/>
        <w:ind w:left="567" w:hanging="567"/>
      </w:pPr>
      <w:proofErr w:type="spellStart"/>
      <w:r w:rsidRPr="0025413D">
        <w:t>Mezzalira</w:t>
      </w:r>
      <w:proofErr w:type="spellEnd"/>
      <w:r w:rsidRPr="0025413D">
        <w:t xml:space="preserve">, S., Scandurra, C., Mezza, F., Miscioscia, M., </w:t>
      </w:r>
      <w:proofErr w:type="spellStart"/>
      <w:r w:rsidRPr="0025413D">
        <w:t>Innamorati</w:t>
      </w:r>
      <w:proofErr w:type="spellEnd"/>
      <w:r w:rsidRPr="0025413D">
        <w:t xml:space="preserve">, M., &amp; Bochicchio, V. (2022, December 31). </w:t>
      </w:r>
      <w:r w:rsidRPr="0025413D">
        <w:rPr>
          <w:i/>
          <w:iCs/>
        </w:rPr>
        <w:t>Gender felt pressure, affective domains, and mental health outcomes among transgender and gender diverse (TGD) children and adolescents: A systematic review with developmental and clinical implications</w:t>
      </w:r>
      <w:r w:rsidRPr="0025413D">
        <w:t xml:space="preserve">. International journal of environmental research and public health. https://www.ncbi.nlm.nih.gov/pmc/articles/PMC9819455/ </w:t>
      </w:r>
    </w:p>
    <w:p w14:paraId="136D0429" w14:textId="77777777" w:rsidR="0025413D" w:rsidRPr="0025413D" w:rsidRDefault="0025413D" w:rsidP="0025413D">
      <w:pPr>
        <w:pStyle w:val="NormalWeb"/>
        <w:spacing w:line="480" w:lineRule="auto"/>
        <w:ind w:left="567" w:hanging="567"/>
      </w:pPr>
      <w:r w:rsidRPr="0025413D">
        <w:t xml:space="preserve">Topic brief: Treatments for gender dysphoria in transgender youth. (n.d.). https://effectivehealthcare.ahrq.gov/system/files/docs/topic-brief-gender-dysphoria.pdf </w:t>
      </w:r>
    </w:p>
    <w:p w14:paraId="58455B0E" w14:textId="77777777" w:rsidR="0025413D" w:rsidRPr="0025413D" w:rsidRDefault="0025413D" w:rsidP="0025413D">
      <w:pPr>
        <w:pStyle w:val="NormalWeb"/>
        <w:spacing w:line="480" w:lineRule="auto"/>
        <w:ind w:left="567" w:hanging="567"/>
      </w:pPr>
      <w:proofErr w:type="spellStart"/>
      <w:r w:rsidRPr="0025413D">
        <w:lastRenderedPageBreak/>
        <w:t>Zaliznyak</w:t>
      </w:r>
      <w:proofErr w:type="spellEnd"/>
      <w:r w:rsidRPr="0025413D">
        <w:t xml:space="preserve">, M., Yuan, N., Bresee, C., Freedman, A., &amp; Garcia, M. M. (2021, December). </w:t>
      </w:r>
      <w:r w:rsidRPr="0025413D">
        <w:rPr>
          <w:i/>
          <w:iCs/>
        </w:rPr>
        <w:t xml:space="preserve">How early in life do transgender adults begin to experience gender dysphoria? </w:t>
      </w:r>
      <w:proofErr w:type="gramStart"/>
      <w:r w:rsidRPr="0025413D">
        <w:rPr>
          <w:i/>
          <w:iCs/>
        </w:rPr>
        <w:t>why</w:t>
      </w:r>
      <w:proofErr w:type="gramEnd"/>
      <w:r w:rsidRPr="0025413D">
        <w:rPr>
          <w:i/>
          <w:iCs/>
        </w:rPr>
        <w:t xml:space="preserve"> </w:t>
      </w:r>
      <w:proofErr w:type="gramStart"/>
      <w:r w:rsidRPr="0025413D">
        <w:rPr>
          <w:i/>
          <w:iCs/>
        </w:rPr>
        <w:t>this matters</w:t>
      </w:r>
      <w:proofErr w:type="gramEnd"/>
      <w:r w:rsidRPr="0025413D">
        <w:rPr>
          <w:i/>
          <w:iCs/>
        </w:rPr>
        <w:t xml:space="preserve"> for patients, providers, and for our healthcare system</w:t>
      </w:r>
      <w:r w:rsidRPr="0025413D">
        <w:t xml:space="preserve">. Sexual medicine. https://www.ncbi.nlm.nih.gov/pmc/articles/PMC8766261/ </w:t>
      </w:r>
    </w:p>
    <w:p w14:paraId="4F45227B" w14:textId="77777777" w:rsidR="00056878" w:rsidRDefault="00056878" w:rsidP="00056878">
      <w:pPr>
        <w:spacing w:line="480" w:lineRule="auto"/>
        <w:rPr>
          <w:rFonts w:ascii="Times New Roman" w:hAnsi="Times New Roman" w:cs="Times New Roman"/>
          <w:color w:val="212121"/>
          <w:sz w:val="24"/>
          <w:szCs w:val="24"/>
          <w:shd w:val="clear" w:color="auto" w:fill="FFFFFF"/>
        </w:rPr>
      </w:pPr>
    </w:p>
    <w:p w14:paraId="44960B5A" w14:textId="4B3E5CA7" w:rsidR="004E72C5" w:rsidRDefault="004E72C5" w:rsidP="00DE76CD">
      <w:pPr>
        <w:spacing w:line="480" w:lineRule="auto"/>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tab/>
      </w:r>
    </w:p>
    <w:p w14:paraId="67984F0D" w14:textId="77777777" w:rsidR="00DE76CD" w:rsidRPr="00DE76CD" w:rsidRDefault="00DE76CD" w:rsidP="00DE76CD">
      <w:pPr>
        <w:spacing w:line="480" w:lineRule="auto"/>
        <w:rPr>
          <w:rFonts w:ascii="Times New Roman" w:hAnsi="Times New Roman" w:cs="Times New Roman"/>
          <w:b/>
          <w:bCs/>
          <w:sz w:val="24"/>
          <w:szCs w:val="24"/>
        </w:rPr>
      </w:pPr>
    </w:p>
    <w:sectPr w:rsidR="00DE76CD" w:rsidRPr="00DE76CD">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69AEA2" w14:textId="77777777" w:rsidR="00A077C3" w:rsidRDefault="00A077C3" w:rsidP="00FA75AD">
      <w:pPr>
        <w:spacing w:after="0" w:line="240" w:lineRule="auto"/>
      </w:pPr>
      <w:r>
        <w:separator/>
      </w:r>
    </w:p>
  </w:endnote>
  <w:endnote w:type="continuationSeparator" w:id="0">
    <w:p w14:paraId="2E2C8674" w14:textId="77777777" w:rsidR="00A077C3" w:rsidRDefault="00A077C3" w:rsidP="00FA75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59759D" w14:textId="77777777" w:rsidR="00A077C3" w:rsidRDefault="00A077C3" w:rsidP="00FA75AD">
      <w:pPr>
        <w:spacing w:after="0" w:line="240" w:lineRule="auto"/>
      </w:pPr>
      <w:r>
        <w:separator/>
      </w:r>
    </w:p>
  </w:footnote>
  <w:footnote w:type="continuationSeparator" w:id="0">
    <w:p w14:paraId="1240C2B6" w14:textId="77777777" w:rsidR="00A077C3" w:rsidRDefault="00A077C3" w:rsidP="00FA75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left w:w="0" w:type="dxa"/>
        <w:right w:w="0" w:type="dxa"/>
      </w:tblCellMar>
      <w:tblLook w:val="04A0" w:firstRow="1" w:lastRow="0" w:firstColumn="1" w:lastColumn="0" w:noHBand="0" w:noVBand="1"/>
    </w:tblPr>
    <w:tblGrid>
      <w:gridCol w:w="3120"/>
      <w:gridCol w:w="3121"/>
      <w:gridCol w:w="3119"/>
    </w:tblGrid>
    <w:tr w:rsidR="0025413D" w14:paraId="271061FB" w14:textId="77777777">
      <w:trPr>
        <w:trHeight w:val="720"/>
      </w:trPr>
      <w:tc>
        <w:tcPr>
          <w:tcW w:w="1667" w:type="pct"/>
        </w:tcPr>
        <w:p w14:paraId="3AC3D387" w14:textId="77777777" w:rsidR="0025413D" w:rsidRDefault="0025413D">
          <w:pPr>
            <w:pStyle w:val="Header"/>
            <w:tabs>
              <w:tab w:val="clear" w:pos="4680"/>
              <w:tab w:val="clear" w:pos="9360"/>
            </w:tabs>
            <w:rPr>
              <w:color w:val="4472C4" w:themeColor="accent1"/>
            </w:rPr>
          </w:pPr>
        </w:p>
      </w:tc>
      <w:tc>
        <w:tcPr>
          <w:tcW w:w="1667" w:type="pct"/>
        </w:tcPr>
        <w:p w14:paraId="0596C507" w14:textId="77777777" w:rsidR="0025413D" w:rsidRDefault="0025413D">
          <w:pPr>
            <w:pStyle w:val="Header"/>
            <w:tabs>
              <w:tab w:val="clear" w:pos="4680"/>
              <w:tab w:val="clear" w:pos="9360"/>
            </w:tabs>
            <w:jc w:val="center"/>
            <w:rPr>
              <w:color w:val="4472C4" w:themeColor="accent1"/>
            </w:rPr>
          </w:pPr>
        </w:p>
      </w:tc>
      <w:tc>
        <w:tcPr>
          <w:tcW w:w="1666" w:type="pct"/>
        </w:tcPr>
        <w:p w14:paraId="04114F00" w14:textId="77777777" w:rsidR="0025413D" w:rsidRDefault="0025413D">
          <w:pPr>
            <w:pStyle w:val="Header"/>
            <w:tabs>
              <w:tab w:val="clear" w:pos="4680"/>
              <w:tab w:val="clear" w:pos="9360"/>
            </w:tabs>
            <w:jc w:val="right"/>
            <w:rPr>
              <w:color w:val="4472C4" w:themeColor="accent1"/>
            </w:rPr>
          </w:pPr>
          <w:r>
            <w:rPr>
              <w:color w:val="4472C4" w:themeColor="accent1"/>
              <w:sz w:val="24"/>
              <w:szCs w:val="24"/>
            </w:rPr>
            <w:fldChar w:fldCharType="begin"/>
          </w:r>
          <w:r>
            <w:rPr>
              <w:color w:val="4472C4" w:themeColor="accent1"/>
              <w:sz w:val="24"/>
              <w:szCs w:val="24"/>
            </w:rPr>
            <w:instrText xml:space="preserve"> PAGE   \* MERGEFORMAT </w:instrText>
          </w:r>
          <w:r>
            <w:rPr>
              <w:color w:val="4472C4" w:themeColor="accent1"/>
              <w:sz w:val="24"/>
              <w:szCs w:val="24"/>
            </w:rPr>
            <w:fldChar w:fldCharType="separate"/>
          </w:r>
          <w:r>
            <w:rPr>
              <w:noProof/>
              <w:color w:val="4472C4" w:themeColor="accent1"/>
              <w:sz w:val="24"/>
              <w:szCs w:val="24"/>
            </w:rPr>
            <w:t>0</w:t>
          </w:r>
          <w:r>
            <w:rPr>
              <w:color w:val="4472C4" w:themeColor="accent1"/>
              <w:sz w:val="24"/>
              <w:szCs w:val="24"/>
            </w:rPr>
            <w:fldChar w:fldCharType="end"/>
          </w:r>
        </w:p>
      </w:tc>
    </w:tr>
  </w:tbl>
  <w:p w14:paraId="5840713D" w14:textId="77777777" w:rsidR="0025413D" w:rsidRDefault="0025413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1B47"/>
    <w:rsid w:val="00021A15"/>
    <w:rsid w:val="00052AE6"/>
    <w:rsid w:val="00056878"/>
    <w:rsid w:val="000E61D2"/>
    <w:rsid w:val="00174181"/>
    <w:rsid w:val="002165F8"/>
    <w:rsid w:val="002515D5"/>
    <w:rsid w:val="0025413D"/>
    <w:rsid w:val="0025706C"/>
    <w:rsid w:val="002A79FD"/>
    <w:rsid w:val="00374E61"/>
    <w:rsid w:val="003B0676"/>
    <w:rsid w:val="0040464A"/>
    <w:rsid w:val="00432D48"/>
    <w:rsid w:val="004C524C"/>
    <w:rsid w:val="004E72C5"/>
    <w:rsid w:val="00500D65"/>
    <w:rsid w:val="005746E3"/>
    <w:rsid w:val="0063272E"/>
    <w:rsid w:val="00686D85"/>
    <w:rsid w:val="006C1E2A"/>
    <w:rsid w:val="00791B47"/>
    <w:rsid w:val="007D0D37"/>
    <w:rsid w:val="00822D57"/>
    <w:rsid w:val="00883214"/>
    <w:rsid w:val="0094446C"/>
    <w:rsid w:val="00945B99"/>
    <w:rsid w:val="009A1036"/>
    <w:rsid w:val="009E215C"/>
    <w:rsid w:val="00A077C3"/>
    <w:rsid w:val="00A400D9"/>
    <w:rsid w:val="00A75360"/>
    <w:rsid w:val="00B0288C"/>
    <w:rsid w:val="00B303DC"/>
    <w:rsid w:val="00B70627"/>
    <w:rsid w:val="00BB4EB5"/>
    <w:rsid w:val="00BD6614"/>
    <w:rsid w:val="00C16964"/>
    <w:rsid w:val="00C77DA9"/>
    <w:rsid w:val="00D4322E"/>
    <w:rsid w:val="00DE76CD"/>
    <w:rsid w:val="00E64A8F"/>
    <w:rsid w:val="00EE335D"/>
    <w:rsid w:val="00FA1E86"/>
    <w:rsid w:val="00FA75AD"/>
    <w:rsid w:val="00FE4D58"/>
    <w:rsid w:val="00FF3A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873B9D"/>
  <w15:chartTrackingRefBased/>
  <w15:docId w15:val="{099EC506-44FC-4612-96C4-406CB41DC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91B4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791B47"/>
    <w:rPr>
      <w:color w:val="0000FF"/>
      <w:u w:val="single"/>
    </w:rPr>
  </w:style>
  <w:style w:type="character" w:styleId="FollowedHyperlink">
    <w:name w:val="FollowedHyperlink"/>
    <w:basedOn w:val="DefaultParagraphFont"/>
    <w:uiPriority w:val="99"/>
    <w:semiHidden/>
    <w:unhideWhenUsed/>
    <w:rsid w:val="00DE76CD"/>
    <w:rPr>
      <w:color w:val="954F72" w:themeColor="followedHyperlink"/>
      <w:u w:val="single"/>
    </w:rPr>
  </w:style>
  <w:style w:type="paragraph" w:styleId="Header">
    <w:name w:val="header"/>
    <w:basedOn w:val="Normal"/>
    <w:link w:val="HeaderChar"/>
    <w:uiPriority w:val="99"/>
    <w:unhideWhenUsed/>
    <w:rsid w:val="00FA75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75AD"/>
  </w:style>
  <w:style w:type="paragraph" w:styleId="Footer">
    <w:name w:val="footer"/>
    <w:basedOn w:val="Normal"/>
    <w:link w:val="FooterChar"/>
    <w:uiPriority w:val="99"/>
    <w:unhideWhenUsed/>
    <w:rsid w:val="00FA75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75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606613">
      <w:bodyDiv w:val="1"/>
      <w:marLeft w:val="0"/>
      <w:marRight w:val="0"/>
      <w:marTop w:val="0"/>
      <w:marBottom w:val="0"/>
      <w:divBdr>
        <w:top w:val="none" w:sz="0" w:space="0" w:color="auto"/>
        <w:left w:val="none" w:sz="0" w:space="0" w:color="auto"/>
        <w:bottom w:val="none" w:sz="0" w:space="0" w:color="auto"/>
        <w:right w:val="none" w:sz="0" w:space="0" w:color="auto"/>
      </w:divBdr>
    </w:div>
    <w:div w:id="1591307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7</Pages>
  <Words>1290</Words>
  <Characters>7358</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Kayleigh  Ferguson</dc:creator>
  <cp:keywords/>
  <dc:description/>
  <cp:lastModifiedBy>Kay ferguson</cp:lastModifiedBy>
  <cp:revision>3</cp:revision>
  <dcterms:created xsi:type="dcterms:W3CDTF">2023-12-06T01:46:00Z</dcterms:created>
  <dcterms:modified xsi:type="dcterms:W3CDTF">2024-02-14T19:47:00Z</dcterms:modified>
</cp:coreProperties>
</file>